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6E" w:rsidRDefault="00B5116E" w:rsidP="00B5116E">
      <w:pPr>
        <w:shd w:val="clear" w:color="auto" w:fill="FFFFFF"/>
        <w:adjustRightInd/>
        <w:snapToGrid/>
        <w:spacing w:after="0" w:line="600" w:lineRule="atLeast"/>
        <w:jc w:val="center"/>
        <w:rPr>
          <w:rFonts w:ascii="方正黑体_GBK" w:eastAsia="方正黑体_GBK" w:hAnsi="Simsun" w:cs="宋体" w:hint="eastAsia"/>
          <w:color w:val="000000"/>
          <w:spacing w:val="-6"/>
          <w:sz w:val="44"/>
          <w:szCs w:val="44"/>
        </w:rPr>
      </w:pPr>
      <w:r w:rsidRPr="00B5116E">
        <w:rPr>
          <w:rFonts w:ascii="方正黑体_GBK" w:eastAsia="方正黑体_GBK" w:hAnsi="Simsun" w:cs="宋体" w:hint="eastAsia"/>
          <w:color w:val="000000"/>
          <w:spacing w:val="-6"/>
          <w:sz w:val="44"/>
          <w:szCs w:val="44"/>
        </w:rPr>
        <w:t>易制爆危险化学品单位治安防范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jc w:val="center"/>
        <w:rPr>
          <w:rFonts w:ascii="方正黑体_GBK" w:eastAsia="方正黑体_GBK" w:hAnsi="Simsun" w:cs="宋体" w:hint="eastAsia"/>
          <w:color w:val="000000"/>
          <w:sz w:val="44"/>
          <w:szCs w:val="44"/>
        </w:rPr>
      </w:pPr>
      <w:r w:rsidRPr="00B5116E">
        <w:rPr>
          <w:rFonts w:ascii="方正黑体_GBK" w:eastAsia="方正黑体_GBK" w:hAnsi="Simsun" w:cs="宋体" w:hint="eastAsia"/>
          <w:color w:val="000000"/>
          <w:spacing w:val="-6"/>
          <w:sz w:val="44"/>
          <w:szCs w:val="44"/>
        </w:rPr>
        <w:t>和流向监控要求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 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一、治安防范要求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1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．易制爆危险化学品生产、储存、经营单位应当设置治安保卫机构，配备专职治安保卫人员；使用单位应该配备专（兼）职治安保卫人员。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2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．对治安防范设施开展经常性检查，及时发现、整改治安隐患，并有检查、整改记录。发现易制爆危险化学品丢失或者被盗抢的，应当立即向当地公安机关报告。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3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．易制爆危险化学品应当储存在专用仓库、专用场地或者专用储存室（以下统称专用仓库），专用仓库为本单位的治安保卫重要部位，实施重点保护。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4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．专用仓库应建立易制爆危险化学品出入库核查、登记制度。应分类设置安全防范设施，优先采用封闭式的储存类型。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（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1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）封闭式，指储存在墙体和屋顶间封闭的仓库（仓库应安装防盗门窗）或者防盗保险柜内，应安装入侵报警系统，有条件的换装或加装视频监控系统。其中，教学、科研、医疗单位在实验室储存少量试剂类易制爆危险化学品的，可仅安装视频监控系统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（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2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）半封闭式，指储存在专用场地内，场地周围用砖墙或铁栅栏围拦，围拦与屋顶间不封闭。应安装视频监控系统，有条件的加装周界等入侵报警系统。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lastRenderedPageBreak/>
        <w:t>（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3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）敞开式，指储存在专用场地内，周边无围拦设施。应安装视频监控系统。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上述防盗保险柜，应当不低于《防盗保险柜》（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GB10409-89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）中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A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类防盗保险柜标准，重量小于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340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公斤的要固定在混凝土地面或墙壁上。入侵报警系统的报警信号应接入值班室或者监控室，有条件的与当地公安机关联网。视频监控系统前端探头的监视范围，应覆盖专用仓库的内部或出入口，图像记录保存时间不少于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30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天。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二、流向监控要求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1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．严格流向登记，易制爆危险化学品从业单位应当如实记录生产、储存、销售、购买、使用等各个环节易制爆危险化学品的数量、流向。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2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．严格凭证购销，销售易制爆化学品时，应当查验《条例》第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38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条规定的相关许可证件或证明文件，如实记录购买单位的名称、地址、经办人的姓名、身份证号码以及所购买的易制爆危险化学品的品种、数量、用途。销售记录以及经办人的身份证明复印件、相关许可证件复印件或者证明文件留存备查，保存期限不得少于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1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年。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3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</w:t>
      </w:r>
      <w:r w:rsidRPr="00B5116E">
        <w:rPr>
          <w:rFonts w:ascii="Simsun" w:eastAsia="宋体" w:hAnsi="Simsun" w:cs="宋体"/>
          <w:color w:val="000000"/>
          <w:spacing w:val="-6"/>
          <w:sz w:val="24"/>
          <w:szCs w:val="24"/>
        </w:rPr>
        <w:t>严格购销备案，易制爆危险化学品的销售企业、购买单位应当在销售、购买后</w:t>
      </w:r>
      <w:r w:rsidRPr="00B5116E">
        <w:rPr>
          <w:rFonts w:ascii="Simsun" w:eastAsia="宋体" w:hAnsi="Simsun" w:cs="宋体"/>
          <w:color w:val="000000"/>
          <w:spacing w:val="-6"/>
          <w:sz w:val="24"/>
          <w:szCs w:val="24"/>
        </w:rPr>
        <w:t>5</w:t>
      </w:r>
      <w:r w:rsidRPr="00B5116E">
        <w:rPr>
          <w:rFonts w:ascii="Simsun" w:eastAsia="宋体" w:hAnsi="Simsun" w:cs="宋体"/>
          <w:color w:val="000000"/>
          <w:spacing w:val="-6"/>
          <w:sz w:val="24"/>
          <w:szCs w:val="24"/>
        </w:rPr>
        <w:t>日内，将所销售、购买的易制爆危险化学品的品种、数量以及流向信息报所在地县级公安机关治安部门备案。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ind w:firstLine="632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z w:val="24"/>
          <w:szCs w:val="24"/>
        </w:rPr>
        <w:t>4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．</w:t>
      </w:r>
      <w:r w:rsidRPr="00B5116E">
        <w:rPr>
          <w:rFonts w:ascii="Simsun" w:eastAsia="宋体" w:hAnsi="Simsun" w:cs="宋体"/>
          <w:color w:val="000000"/>
          <w:spacing w:val="-6"/>
          <w:sz w:val="24"/>
          <w:szCs w:val="24"/>
        </w:rPr>
        <w:t>严格废弃处置，易制爆危险化学品单位转产、停产、停业或者解散时，必须及时、妥善处置生产装置、储存设施以及库存的易制爆危险化学品，不得随意丢弃，并将处置方案报公安机关备案。</w:t>
      </w:r>
    </w:p>
    <w:p w:rsidR="00B5116E" w:rsidRPr="00B5116E" w:rsidRDefault="00B5116E" w:rsidP="00B5116E">
      <w:pPr>
        <w:shd w:val="clear" w:color="auto" w:fill="FFFFFF"/>
        <w:adjustRightInd/>
        <w:snapToGrid/>
        <w:spacing w:after="0" w:line="600" w:lineRule="atLeast"/>
        <w:rPr>
          <w:rFonts w:ascii="Simsun" w:eastAsia="宋体" w:hAnsi="Simsun" w:cs="宋体"/>
          <w:color w:val="000000"/>
          <w:sz w:val="24"/>
          <w:szCs w:val="24"/>
        </w:rPr>
      </w:pPr>
      <w:r w:rsidRPr="00B5116E">
        <w:rPr>
          <w:rFonts w:ascii="Simsun" w:eastAsia="宋体" w:hAnsi="Simsun" w:cs="宋体"/>
          <w:color w:val="000000"/>
          <w:spacing w:val="-6"/>
          <w:sz w:val="24"/>
          <w:szCs w:val="24"/>
        </w:rPr>
        <w:lastRenderedPageBreak/>
        <w:t>其中，使用单位不得出借、转让其购买的易制爆危险化学品；因转产、停产、搬迁、关闭等确需转让的，应当向具有</w:t>
      </w:r>
      <w:r w:rsidRPr="00B5116E">
        <w:rPr>
          <w:rFonts w:ascii="Simsun" w:eastAsia="宋体" w:hAnsi="Simsun" w:cs="宋体"/>
          <w:color w:val="000000"/>
          <w:sz w:val="24"/>
          <w:szCs w:val="24"/>
        </w:rPr>
        <w:t>《条例》第三十八条规定的相关许可证件或者证明文件的单位转让，并在转让后及时向县级公安机关治安部门报告。</w:t>
      </w:r>
    </w:p>
    <w:p w:rsidR="004358AB" w:rsidRPr="00B5116E" w:rsidRDefault="004358AB" w:rsidP="00D31D50">
      <w:pPr>
        <w:spacing w:line="220" w:lineRule="atLeast"/>
        <w:rPr>
          <w:rFonts w:hint="eastAsia"/>
          <w:sz w:val="24"/>
          <w:szCs w:val="24"/>
        </w:rPr>
      </w:pPr>
    </w:p>
    <w:sectPr w:rsidR="004358AB" w:rsidRPr="00B5116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C05C2"/>
    <w:rsid w:val="003D37D8"/>
    <w:rsid w:val="00426133"/>
    <w:rsid w:val="004358AB"/>
    <w:rsid w:val="008B7726"/>
    <w:rsid w:val="00B511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金鹤龄</cp:lastModifiedBy>
  <cp:revision>2</cp:revision>
  <dcterms:created xsi:type="dcterms:W3CDTF">2008-09-11T17:20:00Z</dcterms:created>
  <dcterms:modified xsi:type="dcterms:W3CDTF">2015-08-14T03:02:00Z</dcterms:modified>
</cp:coreProperties>
</file>